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sz w:val="36"/>
          <w:szCs w:val="36"/>
          <w:lang w:eastAsia="zh-CN"/>
        </w:rPr>
      </w:pPr>
      <w:r>
        <w:rPr>
          <w:rFonts w:hint="eastAsia" w:ascii="微软雅黑" w:hAnsi="微软雅黑" w:eastAsia="微软雅黑"/>
          <w:b/>
          <w:sz w:val="36"/>
          <w:szCs w:val="36"/>
          <w:lang w:eastAsia="zh-CN"/>
        </w:rPr>
        <w:t>金三体系个人所得税新政下专项风险及应对</w:t>
      </w:r>
    </w:p>
    <w:p>
      <w:pPr>
        <w:rPr>
          <w:rFonts w:ascii="微软雅黑" w:hAnsi="微软雅黑" w:eastAsia="微软雅黑"/>
          <w:b/>
          <w:sz w:val="24"/>
          <w:szCs w:val="24"/>
        </w:rPr>
      </w:pPr>
    </w:p>
    <w:p>
      <w:pPr>
        <w:rPr>
          <w:rFonts w:hint="eastAsia" w:ascii="微软雅黑" w:hAnsi="微软雅黑" w:eastAsia="微软雅黑"/>
          <w:b/>
          <w:sz w:val="24"/>
          <w:szCs w:val="24"/>
          <w:lang w:eastAsia="zh-CN"/>
        </w:rPr>
      </w:pPr>
      <w:r>
        <w:rPr>
          <w:rFonts w:ascii="微软雅黑" w:hAnsi="微软雅黑" w:eastAsia="微软雅黑"/>
          <w:b/>
          <w:sz w:val="24"/>
          <w:szCs w:val="24"/>
        </w:rPr>
        <w:t>第一部分</w:t>
      </w:r>
      <w:r>
        <w:rPr>
          <w:rFonts w:hint="eastAsia" w:ascii="微软雅黑" w:hAnsi="微软雅黑" w:eastAsia="微软雅黑"/>
          <w:b/>
          <w:sz w:val="24"/>
          <w:szCs w:val="24"/>
          <w:lang w:val="en-US" w:eastAsia="zh-CN"/>
        </w:rPr>
        <w:t xml:space="preserve"> </w:t>
      </w:r>
      <w:r>
        <w:rPr>
          <w:rFonts w:hint="eastAsia" w:ascii="微软雅黑" w:hAnsi="微软雅黑" w:eastAsia="微软雅黑"/>
          <w:b/>
          <w:sz w:val="24"/>
          <w:szCs w:val="24"/>
          <w:lang w:eastAsia="zh-CN"/>
        </w:rPr>
        <w:t>个税新政下企业用工和分配所得问题重点解析</w:t>
      </w:r>
    </w:p>
    <w:p>
      <w:pPr>
        <w:pStyle w:val="6"/>
        <w:numPr>
          <w:ilvl w:val="0"/>
          <w:numId w:val="0"/>
        </w:numPr>
        <w:ind w:leftChars="0"/>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1、金三体系下自然人税收管理系统是一个什么样的构成，你真的明白吗？</w:t>
      </w:r>
    </w:p>
    <w:p>
      <w:pPr>
        <w:pStyle w:val="6"/>
        <w:keepNext w:val="0"/>
        <w:keepLines w:val="0"/>
        <w:pageBreakBefore w:val="0"/>
        <w:widowControl w:val="0"/>
        <w:numPr>
          <w:ilvl w:val="0"/>
          <w:numId w:val="1"/>
        </w:numPr>
        <w:kinsoku/>
        <w:wordWrap/>
        <w:overflowPunct/>
        <w:topLinePunct w:val="0"/>
        <w:autoSpaceDE/>
        <w:autoSpaceDN/>
        <w:bidi w:val="0"/>
        <w:adjustRightInd/>
        <w:snapToGrid/>
        <w:ind w:left="0" w:leftChars="0" w:firstLine="425" w:firstLineChars="0"/>
        <w:textAlignment w:val="auto"/>
        <w:outlineLvl w:val="9"/>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自然人实名制+国家级数据平台+个人账户，企业“内部凭证已过期“。</w:t>
      </w:r>
    </w:p>
    <w:p>
      <w:pPr>
        <w:pStyle w:val="6"/>
        <w:keepNext w:val="0"/>
        <w:keepLines w:val="0"/>
        <w:pageBreakBefore w:val="0"/>
        <w:widowControl w:val="0"/>
        <w:numPr>
          <w:ilvl w:val="0"/>
          <w:numId w:val="1"/>
        </w:numPr>
        <w:kinsoku/>
        <w:wordWrap/>
        <w:overflowPunct/>
        <w:topLinePunct w:val="0"/>
        <w:autoSpaceDE/>
        <w:autoSpaceDN/>
        <w:bidi w:val="0"/>
        <w:adjustRightInd/>
        <w:snapToGrid/>
        <w:ind w:left="0" w:leftChars="0" w:firstLine="425" w:firstLineChars="0"/>
        <w:textAlignment w:val="auto"/>
        <w:outlineLvl w:val="9"/>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忽视国地合并全税种监控，流转、所得和财产行为税的关联后果很严重！</w:t>
      </w:r>
    </w:p>
    <w:p>
      <w:pPr>
        <w:pStyle w:val="6"/>
        <w:keepNext w:val="0"/>
        <w:keepLines w:val="0"/>
        <w:pageBreakBefore w:val="0"/>
        <w:widowControl w:val="0"/>
        <w:numPr>
          <w:ilvl w:val="0"/>
          <w:numId w:val="1"/>
        </w:numPr>
        <w:kinsoku/>
        <w:wordWrap/>
        <w:overflowPunct/>
        <w:topLinePunct w:val="0"/>
        <w:autoSpaceDE/>
        <w:autoSpaceDN/>
        <w:bidi w:val="0"/>
        <w:adjustRightInd/>
        <w:snapToGrid/>
        <w:ind w:left="0" w:leftChars="0" w:firstLine="425" w:firstLineChars="0"/>
        <w:textAlignment w:val="auto"/>
        <w:outlineLvl w:val="9"/>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必须掌握的个税综合所得和经营所得在累计预扣预缴和汇算清缴的本质。</w:t>
      </w:r>
      <w:bookmarkStart w:id="0" w:name="_GoBack"/>
      <w:bookmarkEnd w:id="0"/>
    </w:p>
    <w:p>
      <w:pPr>
        <w:pStyle w:val="6"/>
        <w:keepNext w:val="0"/>
        <w:keepLines w:val="0"/>
        <w:pageBreakBefore w:val="0"/>
        <w:widowControl w:val="0"/>
        <w:numPr>
          <w:ilvl w:val="0"/>
          <w:numId w:val="1"/>
        </w:numPr>
        <w:kinsoku/>
        <w:wordWrap/>
        <w:overflowPunct/>
        <w:topLinePunct w:val="0"/>
        <w:autoSpaceDE/>
        <w:autoSpaceDN/>
        <w:bidi w:val="0"/>
        <w:adjustRightInd/>
        <w:snapToGrid/>
        <w:ind w:left="0" w:leftChars="0" w:firstLine="425" w:firstLineChars="0"/>
        <w:textAlignment w:val="auto"/>
        <w:outlineLvl w:val="9"/>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社保入税、个税关联，企业在用工方式和人力成本该如何适应变化</w:t>
      </w:r>
    </w:p>
    <w:p>
      <w:pPr>
        <w:pStyle w:val="6"/>
        <w:numPr>
          <w:ilvl w:val="0"/>
          <w:numId w:val="0"/>
        </w:numPr>
        <w:ind w:leftChars="0"/>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2、企业用工在个税和社保上的协同怎么做？</w:t>
      </w:r>
    </w:p>
    <w:p>
      <w:pPr>
        <w:pStyle w:val="6"/>
        <w:keepNext w:val="0"/>
        <w:keepLines w:val="0"/>
        <w:pageBreakBefore w:val="0"/>
        <w:widowControl w:val="0"/>
        <w:numPr>
          <w:ilvl w:val="0"/>
          <w:numId w:val="2"/>
        </w:numPr>
        <w:kinsoku/>
        <w:wordWrap/>
        <w:overflowPunct/>
        <w:topLinePunct w:val="0"/>
        <w:autoSpaceDE/>
        <w:autoSpaceDN/>
        <w:bidi w:val="0"/>
        <w:adjustRightInd/>
        <w:snapToGrid/>
        <w:ind w:left="0" w:leftChars="0" w:firstLine="425" w:firstLineChars="0"/>
        <w:textAlignment w:val="auto"/>
        <w:outlineLvl w:val="9"/>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非全日制工企税、个税和社保风险识别和协同管理；</w:t>
      </w:r>
    </w:p>
    <w:p>
      <w:pPr>
        <w:pStyle w:val="6"/>
        <w:keepNext w:val="0"/>
        <w:keepLines w:val="0"/>
        <w:pageBreakBefore w:val="0"/>
        <w:widowControl w:val="0"/>
        <w:numPr>
          <w:ilvl w:val="0"/>
          <w:numId w:val="2"/>
        </w:numPr>
        <w:kinsoku/>
        <w:wordWrap/>
        <w:overflowPunct/>
        <w:topLinePunct w:val="0"/>
        <w:autoSpaceDE/>
        <w:autoSpaceDN/>
        <w:bidi w:val="0"/>
        <w:adjustRightInd/>
        <w:snapToGrid/>
        <w:ind w:left="0" w:leftChars="0" w:firstLine="425" w:firstLineChars="0"/>
        <w:textAlignment w:val="auto"/>
        <w:outlineLvl w:val="9"/>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所谓“内部创业计划”中灵活就业人员的社保问题；</w:t>
      </w:r>
    </w:p>
    <w:p>
      <w:pPr>
        <w:pStyle w:val="6"/>
        <w:keepNext w:val="0"/>
        <w:keepLines w:val="0"/>
        <w:pageBreakBefore w:val="0"/>
        <w:widowControl w:val="0"/>
        <w:numPr>
          <w:ilvl w:val="0"/>
          <w:numId w:val="2"/>
        </w:numPr>
        <w:kinsoku/>
        <w:wordWrap/>
        <w:overflowPunct/>
        <w:topLinePunct w:val="0"/>
        <w:autoSpaceDE/>
        <w:autoSpaceDN/>
        <w:bidi w:val="0"/>
        <w:adjustRightInd/>
        <w:snapToGrid/>
        <w:ind w:left="0" w:leftChars="0" w:firstLine="425" w:firstLineChars="0"/>
        <w:textAlignment w:val="auto"/>
        <w:outlineLvl w:val="9"/>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劳务派遣用工的企税、个税和社保风险识别和协同管理；</w:t>
      </w:r>
    </w:p>
    <w:p>
      <w:pPr>
        <w:pStyle w:val="6"/>
        <w:keepNext w:val="0"/>
        <w:keepLines w:val="0"/>
        <w:pageBreakBefore w:val="0"/>
        <w:widowControl w:val="0"/>
        <w:numPr>
          <w:ilvl w:val="0"/>
          <w:numId w:val="2"/>
        </w:numPr>
        <w:kinsoku/>
        <w:wordWrap/>
        <w:overflowPunct/>
        <w:topLinePunct w:val="0"/>
        <w:autoSpaceDE/>
        <w:autoSpaceDN/>
        <w:bidi w:val="0"/>
        <w:adjustRightInd/>
        <w:snapToGrid/>
        <w:ind w:left="0" w:leftChars="0" w:firstLine="425" w:firstLineChars="0"/>
        <w:textAlignment w:val="auto"/>
        <w:outlineLvl w:val="9"/>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返聘退休人员企税、个税和社保风险识别和协同管理；</w:t>
      </w:r>
    </w:p>
    <w:p>
      <w:pPr>
        <w:pStyle w:val="6"/>
        <w:keepNext w:val="0"/>
        <w:keepLines w:val="0"/>
        <w:pageBreakBefore w:val="0"/>
        <w:widowControl w:val="0"/>
        <w:numPr>
          <w:ilvl w:val="0"/>
          <w:numId w:val="2"/>
        </w:numPr>
        <w:kinsoku/>
        <w:wordWrap/>
        <w:overflowPunct/>
        <w:topLinePunct w:val="0"/>
        <w:autoSpaceDE/>
        <w:autoSpaceDN/>
        <w:bidi w:val="0"/>
        <w:adjustRightInd/>
        <w:snapToGrid/>
        <w:ind w:left="0" w:leftChars="0" w:firstLine="425" w:firstLineChars="0"/>
        <w:textAlignment w:val="auto"/>
        <w:outlineLvl w:val="9"/>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新个税和社保政策下对用工企业挂证人员有何影响（案例分析）？</w:t>
      </w:r>
    </w:p>
    <w:p>
      <w:pPr>
        <w:pStyle w:val="6"/>
        <w:numPr>
          <w:ilvl w:val="0"/>
          <w:numId w:val="0"/>
        </w:numPr>
        <w:ind w:leftChars="0"/>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3、个税年终奖及经营所得得差异性如何分辨？</w:t>
      </w:r>
    </w:p>
    <w:p>
      <w:pPr>
        <w:pStyle w:val="6"/>
        <w:keepNext w:val="0"/>
        <w:keepLines w:val="0"/>
        <w:pageBreakBefore w:val="0"/>
        <w:widowControl w:val="0"/>
        <w:numPr>
          <w:ilvl w:val="0"/>
          <w:numId w:val="3"/>
        </w:numPr>
        <w:kinsoku/>
        <w:wordWrap/>
        <w:overflowPunct/>
        <w:topLinePunct w:val="0"/>
        <w:autoSpaceDE/>
        <w:autoSpaceDN/>
        <w:bidi w:val="0"/>
        <w:adjustRightInd/>
        <w:snapToGrid/>
        <w:ind w:left="0" w:leftChars="0" w:firstLine="425" w:firstLineChars="0"/>
        <w:textAlignment w:val="auto"/>
        <w:outlineLvl w:val="9"/>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个税改革的主要思想和实操运用；</w:t>
      </w:r>
    </w:p>
    <w:p>
      <w:pPr>
        <w:pStyle w:val="6"/>
        <w:keepNext w:val="0"/>
        <w:keepLines w:val="0"/>
        <w:pageBreakBefore w:val="0"/>
        <w:widowControl w:val="0"/>
        <w:numPr>
          <w:ilvl w:val="0"/>
          <w:numId w:val="3"/>
        </w:numPr>
        <w:kinsoku/>
        <w:wordWrap/>
        <w:overflowPunct/>
        <w:topLinePunct w:val="0"/>
        <w:autoSpaceDE/>
        <w:autoSpaceDN/>
        <w:bidi w:val="0"/>
        <w:adjustRightInd/>
        <w:snapToGrid/>
        <w:ind w:left="0" w:leftChars="0" w:firstLine="425" w:firstLineChars="0"/>
        <w:textAlignment w:val="auto"/>
        <w:outlineLvl w:val="9"/>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年终奖筹划落地与策划运用；</w:t>
      </w:r>
    </w:p>
    <w:p>
      <w:pPr>
        <w:pStyle w:val="6"/>
        <w:keepNext w:val="0"/>
        <w:keepLines w:val="0"/>
        <w:pageBreakBefore w:val="0"/>
        <w:widowControl w:val="0"/>
        <w:numPr>
          <w:ilvl w:val="0"/>
          <w:numId w:val="3"/>
        </w:numPr>
        <w:kinsoku/>
        <w:wordWrap/>
        <w:overflowPunct/>
        <w:topLinePunct w:val="0"/>
        <w:autoSpaceDE/>
        <w:autoSpaceDN/>
        <w:bidi w:val="0"/>
        <w:adjustRightInd/>
        <w:snapToGrid/>
        <w:ind w:left="0" w:leftChars="0" w:firstLine="425" w:firstLineChars="0"/>
        <w:textAlignment w:val="auto"/>
        <w:outlineLvl w:val="9"/>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经营所得与劳务报酬的区分与实操运用。</w:t>
      </w:r>
    </w:p>
    <w:p>
      <w:pPr>
        <w:pStyle w:val="6"/>
        <w:numPr>
          <w:ilvl w:val="0"/>
          <w:numId w:val="0"/>
        </w:numPr>
        <w:ind w:leftChars="0"/>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4、个税汇算清缴及核定征收的哪些问题需要重点关注？</w:t>
      </w:r>
    </w:p>
    <w:p>
      <w:pPr>
        <w:pStyle w:val="6"/>
        <w:keepNext w:val="0"/>
        <w:keepLines w:val="0"/>
        <w:pageBreakBefore w:val="0"/>
        <w:widowControl w:val="0"/>
        <w:numPr>
          <w:ilvl w:val="0"/>
          <w:numId w:val="4"/>
        </w:numPr>
        <w:kinsoku/>
        <w:wordWrap/>
        <w:overflowPunct/>
        <w:topLinePunct w:val="0"/>
        <w:autoSpaceDE/>
        <w:autoSpaceDN/>
        <w:bidi w:val="0"/>
        <w:adjustRightInd/>
        <w:snapToGrid/>
        <w:ind w:left="0" w:leftChars="0" w:firstLine="425" w:firstLineChars="0"/>
        <w:textAlignment w:val="auto"/>
        <w:outlineLvl w:val="9"/>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新政下综合所得个税预缴及汇算清缴（案例分析）</w:t>
      </w:r>
    </w:p>
    <w:p>
      <w:pPr>
        <w:pStyle w:val="6"/>
        <w:keepNext w:val="0"/>
        <w:keepLines w:val="0"/>
        <w:pageBreakBefore w:val="0"/>
        <w:widowControl w:val="0"/>
        <w:numPr>
          <w:ilvl w:val="0"/>
          <w:numId w:val="4"/>
        </w:numPr>
        <w:kinsoku/>
        <w:wordWrap/>
        <w:overflowPunct/>
        <w:topLinePunct w:val="0"/>
        <w:autoSpaceDE/>
        <w:autoSpaceDN/>
        <w:bidi w:val="0"/>
        <w:adjustRightInd/>
        <w:snapToGrid/>
        <w:ind w:left="0" w:leftChars="0" w:firstLine="425" w:firstLineChars="0"/>
        <w:textAlignment w:val="auto"/>
        <w:outlineLvl w:val="9"/>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个体户核定征收问题梳理；</w:t>
      </w:r>
    </w:p>
    <w:p>
      <w:pPr>
        <w:pStyle w:val="6"/>
        <w:keepNext w:val="0"/>
        <w:keepLines w:val="0"/>
        <w:pageBreakBefore w:val="0"/>
        <w:widowControl w:val="0"/>
        <w:numPr>
          <w:ilvl w:val="0"/>
          <w:numId w:val="4"/>
        </w:numPr>
        <w:kinsoku/>
        <w:wordWrap/>
        <w:overflowPunct/>
        <w:topLinePunct w:val="0"/>
        <w:autoSpaceDE/>
        <w:autoSpaceDN/>
        <w:bidi w:val="0"/>
        <w:adjustRightInd/>
        <w:snapToGrid/>
        <w:ind w:left="0" w:leftChars="0" w:firstLine="425" w:firstLineChars="0"/>
        <w:textAlignment w:val="auto"/>
        <w:outlineLvl w:val="9"/>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个税手续费返还财税处理技巧；</w:t>
      </w:r>
    </w:p>
    <w:p>
      <w:pPr>
        <w:pStyle w:val="6"/>
        <w:keepNext w:val="0"/>
        <w:keepLines w:val="0"/>
        <w:pageBreakBefore w:val="0"/>
        <w:widowControl w:val="0"/>
        <w:numPr>
          <w:ilvl w:val="0"/>
          <w:numId w:val="4"/>
        </w:numPr>
        <w:kinsoku/>
        <w:wordWrap/>
        <w:overflowPunct/>
        <w:topLinePunct w:val="0"/>
        <w:autoSpaceDE/>
        <w:autoSpaceDN/>
        <w:bidi w:val="0"/>
        <w:adjustRightInd/>
        <w:snapToGrid/>
        <w:ind w:left="0" w:leftChars="0" w:firstLine="425" w:firstLineChars="0"/>
        <w:textAlignment w:val="auto"/>
        <w:outlineLvl w:val="9"/>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员工离职补偿金与竞业限制补偿的个税处理技巧；</w:t>
      </w:r>
    </w:p>
    <w:p>
      <w:pPr>
        <w:pStyle w:val="6"/>
        <w:keepNext w:val="0"/>
        <w:keepLines w:val="0"/>
        <w:pageBreakBefore w:val="0"/>
        <w:widowControl w:val="0"/>
        <w:numPr>
          <w:ilvl w:val="0"/>
          <w:numId w:val="4"/>
        </w:numPr>
        <w:kinsoku/>
        <w:wordWrap/>
        <w:overflowPunct/>
        <w:topLinePunct w:val="0"/>
        <w:autoSpaceDE/>
        <w:autoSpaceDN/>
        <w:bidi w:val="0"/>
        <w:adjustRightInd/>
        <w:snapToGrid/>
        <w:ind w:left="0" w:leftChars="0" w:firstLine="425" w:firstLineChars="0"/>
        <w:textAlignment w:val="auto"/>
        <w:outlineLvl w:val="9"/>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职工福利费用个税处理技巧；</w:t>
      </w:r>
    </w:p>
    <w:p>
      <w:pPr>
        <w:rPr>
          <w:rFonts w:hint="eastAsia" w:ascii="微软雅黑" w:hAnsi="微软雅黑" w:eastAsia="微软雅黑"/>
          <w:b/>
          <w:sz w:val="24"/>
          <w:szCs w:val="24"/>
          <w:lang w:val="en-US" w:eastAsia="zh-CN"/>
        </w:rPr>
      </w:pPr>
      <w:r>
        <w:rPr>
          <w:rFonts w:hint="eastAsia" w:ascii="微软雅黑" w:hAnsi="微软雅黑" w:eastAsia="微软雅黑"/>
          <w:b/>
          <w:sz w:val="24"/>
          <w:szCs w:val="24"/>
          <w:lang w:val="en-US" w:eastAsia="zh-CN"/>
        </w:rPr>
        <w:t>第二部分 个人所得税在稽查中的关键要素</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微软雅黑" w:hAnsi="微软雅黑" w:eastAsia="微软雅黑"/>
          <w:b/>
          <w:bCs/>
          <w:sz w:val="24"/>
          <w:szCs w:val="24"/>
          <w:lang w:eastAsia="zh-CN"/>
        </w:rPr>
      </w:pPr>
      <w:r>
        <w:rPr>
          <w:rFonts w:hint="eastAsia" w:ascii="微软雅黑" w:hAnsi="微软雅黑" w:eastAsia="微软雅黑"/>
          <w:sz w:val="24"/>
          <w:szCs w:val="24"/>
          <w:lang w:val="en-US" w:eastAsia="zh-CN"/>
        </w:rPr>
        <w:t>把握个税风险查实的诱因，知晓税务是如认定和处罚的，有效防范和应对企业个税风险和关联其他税种的风险。</w:t>
      </w:r>
    </w:p>
    <w:p>
      <w:pPr>
        <w:rPr>
          <w:rFonts w:hint="eastAsia" w:ascii="微软雅黑" w:hAnsi="微软雅黑" w:eastAsia="微软雅黑"/>
          <w:b/>
          <w:bCs/>
          <w:sz w:val="24"/>
          <w:szCs w:val="24"/>
          <w:lang w:eastAsia="zh-CN"/>
        </w:rPr>
      </w:pPr>
      <w:r>
        <w:rPr>
          <w:rFonts w:hint="eastAsia" w:ascii="微软雅黑" w:hAnsi="微软雅黑" w:eastAsia="微软雅黑"/>
          <w:b/>
          <w:bCs/>
          <w:sz w:val="24"/>
          <w:szCs w:val="24"/>
          <w:lang w:eastAsia="zh-CN"/>
        </w:rPr>
        <w:t>一、个人所得项虚假申报</w:t>
      </w:r>
    </w:p>
    <w:p>
      <w:pPr>
        <w:numPr>
          <w:ilvl w:val="0"/>
          <w:numId w:val="0"/>
        </w:numPr>
        <w:ind w:leftChars="0"/>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1、(</w:t>
      </w:r>
      <w:r>
        <w:rPr>
          <w:rFonts w:ascii="微软雅黑" w:hAnsi="微软雅黑" w:eastAsia="微软雅黑" w:cs="微软雅黑"/>
          <w:i w:val="0"/>
          <w:caps w:val="0"/>
          <w:color w:val="333333"/>
          <w:spacing w:val="0"/>
          <w:sz w:val="24"/>
          <w:szCs w:val="24"/>
        </w:rPr>
        <w:t>工商企注字〔2018〕11号</w:t>
      </w:r>
      <w:r>
        <w:rPr>
          <w:rFonts w:hint="eastAsia" w:ascii="微软雅黑" w:hAnsi="微软雅黑" w:eastAsia="微软雅黑"/>
          <w:sz w:val="24"/>
          <w:szCs w:val="24"/>
          <w:lang w:val="en-US" w:eastAsia="zh-CN"/>
        </w:rPr>
        <w:t>)对从业人数与个税实际申报数不一致；</w:t>
      </w:r>
    </w:p>
    <w:p>
      <w:pPr>
        <w:numPr>
          <w:ilvl w:val="0"/>
          <w:numId w:val="0"/>
        </w:numPr>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2、企业工资薪金不合理的情况</w:t>
      </w:r>
    </w:p>
    <w:p>
      <w:pPr>
        <w:numPr>
          <w:ilvl w:val="0"/>
          <w:numId w:val="0"/>
        </w:numPr>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“个人工资薪金长期为0元或者1元”；</w:t>
      </w:r>
    </w:p>
    <w:p>
      <w:pPr>
        <w:numPr>
          <w:ilvl w:val="0"/>
          <w:numId w:val="0"/>
        </w:numPr>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“大部分员工长期工资薪金不高于5000元”；</w:t>
      </w:r>
    </w:p>
    <w:p>
      <w:pPr>
        <w:numPr>
          <w:ilvl w:val="0"/>
          <w:numId w:val="0"/>
        </w:numPr>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“规模较大或经营状况良好的企业长期个税申报税额为0元”；</w:t>
      </w:r>
    </w:p>
    <w:p>
      <w:pPr>
        <w:numPr>
          <w:ilvl w:val="0"/>
          <w:numId w:val="0"/>
        </w:numPr>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3、核查企业盗用非本单位雇员信息虚假申报“工资薪金”冲减企业所得税应纳税所得额或者分散高薪员工个税应纳税所得额。</w:t>
      </w:r>
    </w:p>
    <w:p>
      <w:pPr>
        <w:rPr>
          <w:rFonts w:hint="eastAsia" w:ascii="微软雅黑" w:hAnsi="微软雅黑" w:eastAsia="微软雅黑"/>
          <w:b/>
          <w:bCs/>
          <w:sz w:val="24"/>
          <w:szCs w:val="24"/>
          <w:lang w:val="en-US" w:eastAsia="zh-CN"/>
        </w:rPr>
      </w:pPr>
      <w:r>
        <w:rPr>
          <w:rFonts w:hint="eastAsia" w:ascii="微软雅黑" w:hAnsi="微软雅黑" w:eastAsia="微软雅黑"/>
          <w:b/>
          <w:bCs/>
          <w:sz w:val="24"/>
          <w:szCs w:val="24"/>
          <w:lang w:val="en-US" w:eastAsia="zh-CN"/>
        </w:rPr>
        <w:t>二、应申报未申报</w:t>
      </w:r>
    </w:p>
    <w:p>
      <w:pPr>
        <w:numPr>
          <w:ilvl w:val="0"/>
          <w:numId w:val="0"/>
        </w:numPr>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1、哪些福利需要合并工资薪金做综合所得进行申报？避免提供给内部员工的福利费用，被认定为未足额代扣代缴个人所得税。</w:t>
      </w:r>
    </w:p>
    <w:p>
      <w:pPr>
        <w:numPr>
          <w:ilvl w:val="0"/>
          <w:numId w:val="0"/>
        </w:numPr>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2、从购进国内旅客运输服务进项抵扣，到差旅费津贴补助合理费用报销，如何避免被认定为虚列费用报销手段隐匿员工收入。</w:t>
      </w:r>
    </w:p>
    <w:p>
      <w:pPr>
        <w:numPr>
          <w:ilvl w:val="0"/>
          <w:numId w:val="0"/>
        </w:numPr>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3、有些个人所得相关的会计科目是税务检查的必查科目，顺带也会看两眼。</w:t>
      </w:r>
    </w:p>
    <w:p>
      <w:pPr>
        <w:numPr>
          <w:ilvl w:val="0"/>
          <w:numId w:val="0"/>
        </w:numPr>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4、两处及以上取得工资薪金的监控和风险。</w:t>
      </w:r>
    </w:p>
    <w:p>
      <w:pPr>
        <w:numPr>
          <w:ilvl w:val="0"/>
          <w:numId w:val="0"/>
        </w:numPr>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5、股权变更后未涉及个税申报。</w:t>
      </w:r>
    </w:p>
    <w:p>
      <w:pPr>
        <w:numPr>
          <w:ilvl w:val="0"/>
          <w:numId w:val="0"/>
        </w:numPr>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6、支付劳务费用的个税代扣代缴风险。</w:t>
      </w:r>
    </w:p>
    <w:p>
      <w:pPr>
        <w:numPr>
          <w:ilvl w:val="0"/>
          <w:numId w:val="0"/>
        </w:numPr>
        <w:rPr>
          <w:rFonts w:hint="eastAsia" w:ascii="微软雅黑" w:hAnsi="微软雅黑" w:eastAsia="微软雅黑"/>
          <w:sz w:val="24"/>
          <w:szCs w:val="24"/>
          <w:lang w:val="en-US" w:eastAsia="zh-CN"/>
        </w:rPr>
      </w:pPr>
    </w:p>
    <w:p>
      <w:pPr>
        <w:numPr>
          <w:ilvl w:val="0"/>
          <w:numId w:val="0"/>
        </w:numPr>
        <w:rPr>
          <w:rFonts w:hint="eastAsia" w:ascii="微软雅黑" w:hAnsi="微软雅黑" w:eastAsia="微软雅黑"/>
          <w:b/>
          <w:bCs/>
          <w:sz w:val="24"/>
          <w:szCs w:val="24"/>
          <w:lang w:val="en-US" w:eastAsia="zh-CN"/>
        </w:rPr>
      </w:pPr>
      <w:r>
        <w:rPr>
          <w:rFonts w:hint="eastAsia" w:ascii="微软雅黑" w:hAnsi="微软雅黑" w:eastAsia="微软雅黑"/>
          <w:b/>
          <w:bCs/>
          <w:sz w:val="24"/>
          <w:szCs w:val="24"/>
          <w:lang w:val="en-US" w:eastAsia="zh-CN"/>
        </w:rPr>
        <w:t>课程收益</w:t>
      </w:r>
    </w:p>
    <w:p>
      <w:pPr>
        <w:numPr>
          <w:ilvl w:val="0"/>
          <w:numId w:val="5"/>
        </w:numPr>
        <w:rPr>
          <w:rFonts w:hint="eastAsia" w:ascii="微软雅黑" w:hAnsi="微软雅黑" w:eastAsia="微软雅黑"/>
          <w:b w:val="0"/>
          <w:bCs w:val="0"/>
          <w:sz w:val="24"/>
          <w:szCs w:val="24"/>
          <w:lang w:val="en-US" w:eastAsia="zh-CN"/>
        </w:rPr>
      </w:pPr>
      <w:r>
        <w:rPr>
          <w:rFonts w:hint="eastAsia" w:ascii="微软雅黑" w:hAnsi="微软雅黑" w:eastAsia="微软雅黑"/>
          <w:b w:val="0"/>
          <w:bCs w:val="0"/>
          <w:sz w:val="24"/>
          <w:szCs w:val="24"/>
          <w:lang w:val="en-US" w:eastAsia="zh-CN"/>
        </w:rPr>
        <w:t>精准把握个税综合所得政策，为个税汇算清缴工作做好准备。</w:t>
      </w:r>
    </w:p>
    <w:p>
      <w:pPr>
        <w:numPr>
          <w:ilvl w:val="0"/>
          <w:numId w:val="5"/>
        </w:numPr>
        <w:rPr>
          <w:rFonts w:hint="eastAsia" w:ascii="微软雅黑" w:hAnsi="微软雅黑" w:eastAsia="微软雅黑"/>
          <w:b w:val="0"/>
          <w:bCs w:val="0"/>
          <w:sz w:val="24"/>
          <w:szCs w:val="24"/>
          <w:lang w:val="en-US" w:eastAsia="zh-CN"/>
        </w:rPr>
      </w:pPr>
      <w:r>
        <w:rPr>
          <w:rFonts w:hint="eastAsia" w:ascii="微软雅黑" w:hAnsi="微软雅黑" w:eastAsia="微软雅黑"/>
          <w:b w:val="0"/>
          <w:bCs w:val="0"/>
          <w:sz w:val="24"/>
          <w:szCs w:val="24"/>
          <w:lang w:val="en-US" w:eastAsia="zh-CN"/>
        </w:rPr>
        <w:t>明确企业用工形式和人力组成方式，合理结构降低成本。</w:t>
      </w:r>
    </w:p>
    <w:p>
      <w:pPr>
        <w:numPr>
          <w:ilvl w:val="0"/>
          <w:numId w:val="5"/>
        </w:numPr>
        <w:rPr>
          <w:rFonts w:hint="eastAsia" w:ascii="微软雅黑" w:hAnsi="微软雅黑" w:eastAsia="微软雅黑"/>
          <w:b w:val="0"/>
          <w:bCs w:val="0"/>
          <w:sz w:val="24"/>
          <w:szCs w:val="24"/>
          <w:lang w:val="en-US" w:eastAsia="zh-CN"/>
        </w:rPr>
      </w:pPr>
      <w:r>
        <w:rPr>
          <w:rFonts w:hint="eastAsia" w:ascii="微软雅黑" w:hAnsi="微软雅黑" w:eastAsia="微软雅黑"/>
          <w:b w:val="0"/>
          <w:bCs w:val="0"/>
          <w:sz w:val="24"/>
          <w:szCs w:val="24"/>
          <w:lang w:val="en-US" w:eastAsia="zh-CN"/>
        </w:rPr>
        <w:t>合理区分所得项和征收方式，理解个税筹划。</w:t>
      </w:r>
    </w:p>
    <w:p>
      <w:pPr>
        <w:numPr>
          <w:ilvl w:val="0"/>
          <w:numId w:val="5"/>
        </w:numPr>
        <w:rPr>
          <w:rFonts w:hint="eastAsia" w:ascii="微软雅黑" w:hAnsi="微软雅黑" w:eastAsia="微软雅黑"/>
          <w:b w:val="0"/>
          <w:bCs w:val="0"/>
          <w:sz w:val="24"/>
          <w:szCs w:val="24"/>
          <w:lang w:val="en-US" w:eastAsia="zh-CN"/>
        </w:rPr>
      </w:pPr>
      <w:r>
        <w:rPr>
          <w:rFonts w:hint="eastAsia" w:ascii="微软雅黑" w:hAnsi="微软雅黑" w:eastAsia="微软雅黑"/>
          <w:b w:val="0"/>
          <w:bCs w:val="0"/>
          <w:sz w:val="24"/>
          <w:szCs w:val="24"/>
          <w:lang w:val="en-US" w:eastAsia="zh-CN"/>
        </w:rPr>
        <w:t>掌握个税申报以及个税涉及到的账务处理相关税务稽查重点和手段，增强风险防范意识，及早规范涉税行为。</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eastAsiaTheme="minorEastAsia"/>
        <w:lang w:val="en-US" w:eastAsia="zh-CN"/>
      </w:rPr>
    </w:pPr>
    <w:r>
      <w:rPr>
        <w:rFonts w:hint="eastAsia"/>
        <w:lang w:val="en-US"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ADF8F"/>
    <w:multiLevelType w:val="singleLevel"/>
    <w:tmpl w:val="CC9ADF8F"/>
    <w:lvl w:ilvl="0" w:tentative="0">
      <w:start w:val="1"/>
      <w:numFmt w:val="decimal"/>
      <w:lvlText w:val="%1)"/>
      <w:lvlJc w:val="left"/>
      <w:pPr>
        <w:ind w:left="425" w:hanging="425"/>
      </w:pPr>
      <w:rPr>
        <w:rFonts w:hint="default"/>
      </w:rPr>
    </w:lvl>
  </w:abstractNum>
  <w:abstractNum w:abstractNumId="1">
    <w:nsid w:val="1ACB885B"/>
    <w:multiLevelType w:val="singleLevel"/>
    <w:tmpl w:val="1ACB885B"/>
    <w:lvl w:ilvl="0" w:tentative="0">
      <w:start w:val="1"/>
      <w:numFmt w:val="decimal"/>
      <w:lvlText w:val="%1)"/>
      <w:lvlJc w:val="left"/>
      <w:pPr>
        <w:ind w:left="425" w:hanging="425"/>
      </w:pPr>
      <w:rPr>
        <w:rFonts w:hint="default"/>
      </w:rPr>
    </w:lvl>
  </w:abstractNum>
  <w:abstractNum w:abstractNumId="2">
    <w:nsid w:val="2AA3B36A"/>
    <w:multiLevelType w:val="singleLevel"/>
    <w:tmpl w:val="2AA3B36A"/>
    <w:lvl w:ilvl="0" w:tentative="0">
      <w:start w:val="1"/>
      <w:numFmt w:val="decimal"/>
      <w:suff w:val="nothing"/>
      <w:lvlText w:val="%1、"/>
      <w:lvlJc w:val="left"/>
    </w:lvl>
  </w:abstractNum>
  <w:abstractNum w:abstractNumId="3">
    <w:nsid w:val="3C3795CE"/>
    <w:multiLevelType w:val="singleLevel"/>
    <w:tmpl w:val="3C3795CE"/>
    <w:lvl w:ilvl="0" w:tentative="0">
      <w:start w:val="1"/>
      <w:numFmt w:val="decimal"/>
      <w:lvlText w:val="%1)"/>
      <w:lvlJc w:val="left"/>
      <w:pPr>
        <w:ind w:left="425" w:hanging="425"/>
      </w:pPr>
      <w:rPr>
        <w:rFonts w:hint="default"/>
      </w:rPr>
    </w:lvl>
  </w:abstractNum>
  <w:abstractNum w:abstractNumId="4">
    <w:nsid w:val="4C2B2974"/>
    <w:multiLevelType w:val="singleLevel"/>
    <w:tmpl w:val="4C2B2974"/>
    <w:lvl w:ilvl="0" w:tentative="0">
      <w:start w:val="1"/>
      <w:numFmt w:val="decimal"/>
      <w:lvlText w:val="%1)"/>
      <w:lvlJc w:val="left"/>
      <w:pPr>
        <w:ind w:left="425" w:hanging="425"/>
      </w:pPr>
      <w:rPr>
        <w:rFont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0F1989"/>
    <w:rsid w:val="01D57360"/>
    <w:rsid w:val="057C0C35"/>
    <w:rsid w:val="067606B9"/>
    <w:rsid w:val="0EDE20D8"/>
    <w:rsid w:val="14D70D01"/>
    <w:rsid w:val="153F079A"/>
    <w:rsid w:val="197876B1"/>
    <w:rsid w:val="1A0F1989"/>
    <w:rsid w:val="1B8E3939"/>
    <w:rsid w:val="1DA406B3"/>
    <w:rsid w:val="238B133A"/>
    <w:rsid w:val="23D47734"/>
    <w:rsid w:val="24A678EB"/>
    <w:rsid w:val="2B0E0193"/>
    <w:rsid w:val="2C052FB5"/>
    <w:rsid w:val="2FED5E4A"/>
    <w:rsid w:val="310937F0"/>
    <w:rsid w:val="32F44DF1"/>
    <w:rsid w:val="366A31BD"/>
    <w:rsid w:val="36D12B3A"/>
    <w:rsid w:val="39CC4B13"/>
    <w:rsid w:val="3CDE703F"/>
    <w:rsid w:val="3D154230"/>
    <w:rsid w:val="3F404851"/>
    <w:rsid w:val="3FCE6D76"/>
    <w:rsid w:val="3FD63442"/>
    <w:rsid w:val="43360107"/>
    <w:rsid w:val="436D7D3C"/>
    <w:rsid w:val="45433572"/>
    <w:rsid w:val="454C48F0"/>
    <w:rsid w:val="48D26DCE"/>
    <w:rsid w:val="4C8D62CD"/>
    <w:rsid w:val="4D38692E"/>
    <w:rsid w:val="500A4A20"/>
    <w:rsid w:val="50453909"/>
    <w:rsid w:val="537B12AA"/>
    <w:rsid w:val="54C24FC1"/>
    <w:rsid w:val="585325D9"/>
    <w:rsid w:val="5A0F29F7"/>
    <w:rsid w:val="5A142F52"/>
    <w:rsid w:val="5BAC170E"/>
    <w:rsid w:val="5BE36B5E"/>
    <w:rsid w:val="5D6120F6"/>
    <w:rsid w:val="5DCD6CE0"/>
    <w:rsid w:val="5EA449CB"/>
    <w:rsid w:val="62DD7939"/>
    <w:rsid w:val="64143E44"/>
    <w:rsid w:val="65B17E93"/>
    <w:rsid w:val="660E2270"/>
    <w:rsid w:val="67C116DC"/>
    <w:rsid w:val="6A50066A"/>
    <w:rsid w:val="6A8E16B9"/>
    <w:rsid w:val="6E377ACC"/>
    <w:rsid w:val="6F2B53B1"/>
    <w:rsid w:val="6FCA76D1"/>
    <w:rsid w:val="707C5234"/>
    <w:rsid w:val="71F53A9C"/>
    <w:rsid w:val="72F25028"/>
    <w:rsid w:val="73DE5EA0"/>
    <w:rsid w:val="746D209D"/>
    <w:rsid w:val="75142E01"/>
    <w:rsid w:val="75FC194D"/>
    <w:rsid w:val="761E5E62"/>
    <w:rsid w:val="7CE27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264</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2019-06-09T00:14:00Z</dcterms:created>
  <dc:creator>Administrator</dc:creator>
  <cp:lastModifiedBy>Administrator</cp:lastModifiedBy>
  <dcterms:modified xsi:type="dcterms:W3CDTF">2019-07-31T06:21:30Z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