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2022年重庆</w:t>
      </w: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市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数字化车间和智能工厂补充公示名单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2416"/>
        <w:gridCol w:w="3376"/>
        <w:gridCol w:w="12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智能工厂/数字化车间名称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  <w:bdr w:val="none" w:color="auto" w:sz="0" w:space="0"/>
              </w:rPr>
              <w:t>推荐  区县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重庆吉力芸峰实业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（集团）有限公司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摩托车起动电机生产数字化车间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重庆旗能电铝有限公司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电解铝生产智能工厂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綦江区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注：数字化车间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、智能工厂名称按统一格式进行了调整，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项目建设内容以申报材料为准。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4DE841A-46CC-490A-BC8F-07AD888C281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D3D9AAF-16F7-4A4E-885E-4ED62B0C80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NmZGVkYjg1ZTNkMGRlYmZjYmRjYjE0MDc3NzcifQ=="/>
  </w:docVars>
  <w:rsids>
    <w:rsidRoot w:val="164D4682"/>
    <w:rsid w:val="164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2022-06-26T01:55:00Z</dcterms:created>
  <dc:creator>弘一职校</dc:creator>
  <cp:lastModifiedBy>弘一职校</cp:lastModifiedBy>
  <dcterms:modified xsi:type="dcterms:W3CDTF">2022-06-26T01:56:33Z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72E0D44911EC4B07A801C513430B1E74</vt:lpwstr>
  </property>
</Properties>
</file>